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О бюджете города Нефтеюганска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на 20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год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плановый период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годов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Принято Думой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 декабря 2024 года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Список изменяющих документов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717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-VII,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776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-VII,              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№836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-VII,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.10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№859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-VII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Бюджетным кодексом 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оссийской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Федерации, Федеральным законом от 20.03.2025 №33-ФЗ «Об общих принципах организации местного самоуправления в единой системе публичной власти», Положением о бюджетном устройстве и бюджетном процессе в городе Нефтеюганске, утверждённым решением Думы города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Нефтеюганска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25.09.2013 №633-V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руководствуясь Уставом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 Нефтеюганска,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Дума города решила: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бюджет города)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4 809 647 762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    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в 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16 808 007 829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1 998 360 067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города на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в объёме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лей.</w:t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538 848 200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471 847 600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705 093 612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006 673 033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рубля, в том числе условно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утвержденные расходы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рублей и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        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1 166 245 412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     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534 825 433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0 рублей,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255 519 883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 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по муниципальным гарантиям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объёме 0 рублей, на  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доходов бюджета города по показателям классификации доходов: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1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источники финансирования дефицита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разделам, подразделам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</w:t>
      </w:r>
      <w:r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137 747 019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8 405 858 081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рубль 11 копеек;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503 658 200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272 619 900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397 931 334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yellow"/>
          <w:lang w:eastAsia="ru-RU"/>
        </w:rPr>
        <w:t xml:space="preserve">12. Утвердить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составе расходов бюджета города Нефтеюганска бюджетные ассигнования,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иным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бразом зарезервированные,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42 812 493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173 571 735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69 520 735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 на: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42 267 228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20 000 000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545 265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ниципальной собственности в 2025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0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141 571 735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57 520 735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1)на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870 727 929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</w:t>
      </w:r>
      <w:r>
        <w:rPr>
          <w:rFonts w:ascii="Times New Roman" w:hAnsi="Times New Roman" w:cs="Times New Roman"/>
          <w:sz w:val="27"/>
          <w:szCs w:val="27"/>
        </w:rPr>
        <w:t xml:space="preserve">ей</w:t>
      </w:r>
      <w:r>
        <w:rPr>
          <w:rFonts w:ascii="Times New Roman" w:hAnsi="Times New Roman" w:cs="Times New Roman"/>
          <w:sz w:val="27"/>
          <w:szCs w:val="27"/>
        </w:rPr>
        <w:t xml:space="preserve">; 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2)на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658 136 322</w:t>
      </w:r>
      <w:r>
        <w:rPr>
          <w:rFonts w:ascii="Times New Roman" w:hAnsi="Times New Roman" w:cs="Times New Roman"/>
          <w:sz w:val="27"/>
          <w:szCs w:val="27"/>
        </w:rPr>
        <w:t xml:space="preserve"> рубля</w:t>
      </w:r>
      <w:r>
        <w:rPr>
          <w:rFonts w:ascii="Times New Roman" w:hAnsi="Times New Roman" w:cs="Times New Roman"/>
          <w:sz w:val="27"/>
          <w:szCs w:val="27"/>
        </w:rPr>
        <w:t xml:space="preserve">;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3)на 2027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501</w:t>
      </w:r>
      <w:r>
        <w:rPr>
          <w:rFonts w:ascii="Times New Roman" w:hAnsi="Times New Roman" w:cs="Times New Roman"/>
          <w:sz w:val="27"/>
          <w:szCs w:val="27"/>
        </w:rPr>
        <w:t xml:space="preserve"> 125 151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>
        <w:rPr>
          <w:rFonts w:ascii="Times New Roman" w:hAnsi="Times New Roman" w:cs="Times New Roman"/>
          <w:sz w:val="27"/>
          <w:szCs w:val="27"/>
        </w:rPr>
        <w:t xml:space="preserve"> Думы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</w:rPr>
        <w:t xml:space="preserve"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508 280 275</w:t>
      </w:r>
      <w:r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477 426 232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рубля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2027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32</w:t>
      </w:r>
      <w:r>
        <w:rPr>
          <w:rFonts w:ascii="Times New Roman" w:hAnsi="Times New Roman" w:cs="Times New Roman"/>
          <w:sz w:val="27"/>
          <w:szCs w:val="27"/>
        </w:rPr>
        <w:t xml:space="preserve">3 475 881</w:t>
      </w:r>
      <w:r>
        <w:rPr>
          <w:rFonts w:ascii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hAnsi="Times New Roman" w:cs="Times New Roman"/>
          <w:sz w:val="27"/>
          <w:szCs w:val="27"/>
        </w:rPr>
        <w:t xml:space="preserve">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Установить, </w:t>
      </w:r>
      <w:r>
        <w:rPr>
          <w:rFonts w:ascii="Times New Roman" w:hAnsi="Times New Roman" w:eastAsia="Calibri" w:cs="Times New Roman"/>
          <w:sz w:val="27"/>
          <w:szCs w:val="27"/>
        </w:rPr>
        <w:t xml:space="preserve">что расходование средств, а именно</w:t>
      </w:r>
      <w:r>
        <w:rPr>
          <w:rFonts w:ascii="Times New Roman" w:hAnsi="Times New Roman" w:eastAsia="Calibri" w:cs="Times New Roman"/>
          <w:sz w:val="27"/>
          <w:szCs w:val="27"/>
        </w:rPr>
        <w:t xml:space="preserve">: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платы за негативное воздействие на окружающую среду,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суммы штраф</w:t>
      </w:r>
      <w:r>
        <w:rPr>
          <w:rFonts w:ascii="Times New Roman" w:hAnsi="Times New Roman" w:eastAsia="Calibri" w:cs="Times New Roman"/>
          <w:sz w:val="27"/>
          <w:szCs w:val="27"/>
        </w:rPr>
        <w:t xml:space="preserve">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автономного округа – Югры за административные правонарушения в области охраны окружающей среды и природопользования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средств от п</w:t>
      </w:r>
      <w:r>
        <w:rPr>
          <w:rFonts w:ascii="Times New Roman" w:hAnsi="Times New Roman" w:eastAsia="Calibri" w:cs="Times New Roman"/>
          <w:sz w:val="27"/>
          <w:szCs w:val="27"/>
        </w:rPr>
        <w:t xml:space="preserve">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среды.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1</w:t>
      </w:r>
      <w:r>
        <w:rPr>
          <w:rFonts w:ascii="Times New Roman" w:hAnsi="Times New Roman" w:eastAsia="Calibri" w:cs="Times New Roman"/>
          <w:sz w:val="27"/>
          <w:szCs w:val="27"/>
        </w:rPr>
        <w:t xml:space="preserve">5</w:t>
      </w:r>
      <w:r>
        <w:rPr>
          <w:rFonts w:ascii="Times New Roman" w:hAnsi="Times New Roman" w:eastAsia="Calibri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если иное не предусмотрено нормативными правовыми актами Правительства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возмещение затрат субъектам малого и среднего предпринимательства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развитие социального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предпринимательства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затрат, включая расходы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по откачке и вывозу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7)на возмещение затрат сельхозтоваропроизводителям (за исключением личных подсобных хозяйств) на поддержку растениеводства;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хоз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товаропроизводителям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поддержку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животноводства;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нск, 7 микрорайон (станция ВОС);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13)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14)на финансовое обеспечение затрат АО «Югансктранстеплосервис»,      АО «Ю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15)на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ый период, при условии перевода котлов на резервный вид топлива.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ных в пункте 2.1 статьи 78 Бюджетного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следующих случаях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расходы на оплату труда педагогических работников и работников, занимающих должности (профессии), указанные в </w:t>
      </w:r>
      <w:hyperlink r:id="rId12" w:tooltip="https://login.consultant.ru/link/?req=doc&amp;base=RLAW926&amp;n=312293&amp;dst=133516" w:history="1">
        <w:r>
          <w:rPr>
            <w:rFonts w:ascii="Times New Roman" w:hAnsi="Times New Roman" w:eastAsia="Times New Roman" w:cs="Times New Roman"/>
            <w:sz w:val="27"/>
            <w:szCs w:val="27"/>
            <w:lang w:eastAsia="ru-RU"/>
          </w:rPr>
          <w:t xml:space="preserve">приложении 14</w:t>
        </w:r>
      </w:hyperlink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постановлению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Правительства Ханты-Мансийского автономного округа - Югры от 30 декабря 2016 года № 567-п «Об отдельных вопросах реализации За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общеобразовательным программам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предоставление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астны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финансово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обеспечения мероприятий по организации питания;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реализацию социально значимых проектов социально ориентированны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осуществляющи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организациям, осуществляющим образовательную деятельность;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6)на реализацию социально значимых проектов социально ориентированным некоммерческим организациям,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государственными (муниципальными)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сфере культуры;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7</w:t>
      </w:r>
      <w:r>
        <w:rPr>
          <w:rFonts w:ascii="Times New Roman" w:hAnsi="Times New Roman" w:eastAsia="Calibri" w:cs="Times New Roman"/>
          <w:sz w:val="27"/>
          <w:szCs w:val="27"/>
        </w:rPr>
        <w:t xml:space="preserve"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>
        <w:rPr>
          <w:rFonts w:ascii="Times New Roman" w:hAnsi="Times New Roman" w:eastAsia="Calibri" w:cs="Times New Roman"/>
          <w:sz w:val="27"/>
          <w:szCs w:val="27"/>
        </w:rPr>
        <w:t xml:space="preserve">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9)</w:t>
      </w:r>
      <w:r>
        <w:rPr>
          <w:rFonts w:ascii="Times New Roman" w:hAnsi="Times New Roman" w:cs="Times New Roman"/>
          <w:sz w:val="27"/>
          <w:szCs w:val="27"/>
        </w:rPr>
        <w:t xml:space="preserve">на оказание социально значимых услуг социально ориентированным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некоммерческим организациям, не являющимися государственными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(муниципальными) учреждениями, осуществляющими деятельность в городе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Нефтеюганске в сфере 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порядке, установленном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(акты уполномоченных ею органов местного самоуправления)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должны соответствовать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требованиям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стать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том чис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администрирование переданного отдельного государственного полномочия по предоставлению компенсации части родительской платы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ми;</w:t>
      </w:r>
      <w:r/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 (в 2025 году);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департаменту образования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7)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комитету культуры и туризма администрации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</w:t>
      </w:r>
      <w:r>
        <w:rPr>
          <w:rFonts w:ascii="Times New Roman" w:hAnsi="Times New Roman" w:cs="Times New Roman"/>
          <w:sz w:val="27"/>
          <w:szCs w:val="27"/>
        </w:rPr>
        <w:t xml:space="preserve">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 администрации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9)</w:t>
      </w:r>
      <w:r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10)</w:t>
      </w:r>
      <w:r>
        <w:rPr>
          <w:rFonts w:ascii="Times New Roman" w:hAnsi="Times New Roman" w:cs="Times New Roman"/>
          <w:sz w:val="27"/>
          <w:szCs w:val="27"/>
        </w:rPr>
        <w:t xml:space="preserve">на реализацию инициативных проектов (в 2025 году).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18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Субсидия из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13.07.2020 №189-ФЗ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принятыми в соответствии с ним иными нормативными правовыми актами Российской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внутренних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заимствований города Нефтеюганск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Установить, что органы местного самоуправления муниципального образования город Нефтеюганск</w:t>
      </w:r>
      <w: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 вправе принимать решения, приводящие к увеличению в 2025 году и в плановом периоде 2026 и 2027 годов численности лиц, замещающих муниципальные должности, должности муници</w:t>
      </w:r>
      <w:r>
        <w:rPr>
          <w:rFonts w:ascii="Times New Roman" w:hAnsi="Times New Roman" w:cs="Times New Roman"/>
          <w:sz w:val="27"/>
          <w:szCs w:val="27"/>
        </w:rPr>
        <w:t xml:space="preserve">пальной службы, а также работников органов местного самоуправления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</w:t>
      </w:r>
      <w:r>
        <w:rPr>
          <w:rFonts w:ascii="Times New Roman" w:hAnsi="Times New Roman" w:cs="Times New Roman"/>
          <w:sz w:val="27"/>
          <w:szCs w:val="27"/>
        </w:rPr>
        <w:t xml:space="preserve">–</w:t>
      </w:r>
      <w:r>
        <w:rPr>
          <w:rFonts w:ascii="Times New Roman" w:hAnsi="Times New Roman" w:cs="Times New Roman"/>
          <w:sz w:val="27"/>
          <w:szCs w:val="27"/>
        </w:rPr>
        <w:t xml:space="preserve"> Югры, представительного органа муниципального  образования город 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органами местного самоуправления муниципального образования город Нефтеюганск) и муниципальных учреждений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представительного органа муниципального образования город </w:t>
      </w:r>
      <w:r>
        <w:rPr>
          <w:rFonts w:ascii="Times New Roman" w:hAnsi="Times New Roman" w:cs="Times New Roman"/>
          <w:sz w:val="27"/>
          <w:szCs w:val="27"/>
        </w:rPr>
        <w:t xml:space="preserve">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муниципальными учреждениями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>
        <w:rPr>
          <w:rFonts w:ascii="Times New Roman" w:hAnsi="Times New Roman" w:cs="Times New Roman"/>
          <w:sz w:val="27"/>
          <w:szCs w:val="27"/>
        </w:rPr>
        <w:t xml:space="preserve">город Нефтеюганск, по вводу (приобретению) новых объектов капитального строительства)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>
        <w:rPr>
          <w:rFonts w:ascii="Times New Roman" w:hAnsi="Times New Roman" w:eastAsia="Times New Roman" w:cs="Times New Roman"/>
          <w:sz w:val="27"/>
          <w:szCs w:val="27"/>
          <w:vertAlign w:val="superscript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Положения о бюджетном устройстве и бюджетном процессе в городе Нефтеюганске, утвержденном решением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633-V.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пунктом 8 статьи 217 Бюджетного кодекса Российской Федерации, пунктом 2 статьи 121 реше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ния Думы города Нефтеюганска                   от 25.09.2013 № 633-V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бюджетных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автономных учреждений, созданных на базе имущества, находящегося в собственности муниципального образования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производится на лицевых счетах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открываемых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департаменте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установленном им порядке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получателей средств из бюджета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источником финансового обеспечения которых являются субсидии, представленные из бюджета города, производится на ли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цевых счетах, открываемых им в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епартаменте финансов в установленном им порядке.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Положение абзаца первого настоящего пункта не распространяется на субсидии, предоставляемые: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социально ориентированным некоммерческим организациям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финансового обеспечения исполнения муниципального социального заказа на оказание муниципальных услуг в социальной сфере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 Установить, что в 2025 году департамент финансов осуществляет казначейское сопровождение средств, указанных в пункте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 настоящего решения, предоставляемых из бюджета города.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.1. Казначейскому сопровождению подлежат: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города, лицевые счета которым открыты в департаменте финансов;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полнении работ, оказании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авансовые платежи по контрактам (договорам, соглашениям) о поставке товаров, выполнен</w:t>
      </w:r>
      <w:r>
        <w:rPr>
          <w:rFonts w:ascii="Times New Roman" w:hAnsi="Times New Roman" w:eastAsia="Calibri" w:cs="Times New Roman"/>
          <w:sz w:val="27"/>
          <w:szCs w:val="27"/>
        </w:rPr>
        <w:t xml:space="preserve">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</w:t>
      </w:r>
      <w:r>
        <w:rPr>
          <w:rFonts w:ascii="Times New Roman" w:hAnsi="Times New Roman" w:eastAsia="Calibri" w:cs="Times New Roman"/>
          <w:sz w:val="27"/>
          <w:szCs w:val="27"/>
        </w:rPr>
        <w:t xml:space="preserve">я субсидии (за исключением субсидий бюджетным и автономным учреждениям), в том числе в соответствии с концессионными соглашениями, соглашениями о государственно-частном партнерстве, бюджетные инвестиции юридическим лицам на сумму более 3 000,0 тыс. рублей;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</w:t>
      </w:r>
      <w: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взносы в уставные (складочные) капиталы юридических лиц (дочерних общес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предоставляемые из бюджета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города, указанные в подпункте 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вклады), указанные в подпункте 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пункта, на сумму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более 3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000,0 тыс.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иные средства, определенные администрацией города Нефтеюганска;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средства, полу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9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.2.</w:t>
      </w:r>
      <w:r>
        <w:rPr>
          <w:color w:val="000000"/>
          <w:sz w:val="28"/>
          <w:szCs w:val="28"/>
          <w:highlight w:val="white"/>
        </w:rPr>
        <w:t xml:space="preserve">Установить, что в 2025 году при казначейском сопровождении средств, предоставляемых на основании контрактов (договоров), определенных пунктом 25.1 настоящего решения, перечисление средств по таким контрактам (договорам) осуществляется в установленном </w:t>
      </w:r>
      <w:r>
        <w:rPr>
          <w:sz w:val="28"/>
          <w:szCs w:val="28"/>
          <w:highlight w:val="white"/>
        </w:rPr>
        <w:t xml:space="preserve">Правительством Российской Федерации порядке с лицевых счетов уч</w:t>
      </w:r>
      <w:r>
        <w:rPr>
          <w:color w:val="000000"/>
          <w:sz w:val="28"/>
          <w:szCs w:val="28"/>
          <w:highlight w:val="white"/>
        </w:rPr>
        <w:t xml:space="preserve">астника казначейского сопровождения, открытых заказчикам по таким контрактам (договорам) в департаменте финансов, на расчетные счета, открытые поставщикам (подрядчикам, исполнителям) в кредитных организациях:</w:t>
      </w:r>
      <w:r>
        <w:rPr>
          <w:highlight w:val="white"/>
        </w:rPr>
      </w:r>
      <w:r>
        <w:rPr>
          <w:highlight w:val="white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авансовых платежей </w:t>
      </w:r>
      <w:r>
        <w:rPr>
          <w:sz w:val="28"/>
          <w:szCs w:val="28"/>
          <w:highlight w:val="white"/>
        </w:rPr>
        <w:t xml:space="preserve">по контрактам (договорам), заключаемым в целях приобретения строи</w:t>
      </w:r>
      <w:r>
        <w:rPr>
          <w:sz w:val="28"/>
          <w:szCs w:val="28"/>
          <w:highlight w:val="white"/>
        </w:rPr>
        <w:t xml:space="preserve">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</w:t>
      </w:r>
      <w:r>
        <w:rPr>
          <w:sz w:val="28"/>
          <w:szCs w:val="28"/>
          <w:highlight w:val="white"/>
        </w:rPr>
        <w:t xml:space="preserve">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</w:t>
      </w:r>
      <w:r>
        <w:rPr>
          <w:color w:val="000000"/>
          <w:sz w:val="28"/>
          <w:szCs w:val="28"/>
          <w:highlight w:val="white"/>
        </w:rPr>
        <w:t xml:space="preserve">в порядке и по форме, которые установлены Правительством Российской Федерации;</w:t>
      </w:r>
      <w:r>
        <w:rPr>
          <w:highlight w:val="white"/>
        </w:rPr>
      </w:r>
      <w:r>
        <w:rPr>
          <w:highlight w:val="white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  <w14:ligatures w14:val="none"/>
        </w:rPr>
      </w:pPr>
      <w:r>
        <w:rPr>
          <w:color w:val="000000"/>
          <w:sz w:val="28"/>
          <w:szCs w:val="28"/>
          <w:highlight w:val="white"/>
        </w:rPr>
        <w:t xml:space="preserve">в целях выполнения работ, оказания </w:t>
      </w:r>
      <w:r>
        <w:rPr>
          <w:color w:val="000000"/>
          <w:sz w:val="28"/>
          <w:szCs w:val="28"/>
          <w:highlight w:val="white"/>
        </w:rPr>
        <w:t xml:space="preserve">услуг в рамках исполнения муниципальных контрактов, контрактов (договоров)</w:t>
      </w:r>
      <w:r>
        <w:rPr>
          <w:color w:val="000000"/>
          <w:sz w:val="28"/>
          <w:szCs w:val="28"/>
          <w:highlight w:val="white"/>
        </w:rPr>
        <w:t xml:space="preserve">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</w:t>
      </w:r>
      <w:r>
        <w:rPr>
          <w:color w:val="000000"/>
          <w:sz w:val="28"/>
          <w:szCs w:val="28"/>
          <w:highlight w:val="white"/>
        </w:rPr>
        <w:t xml:space="preserve">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</w:t>
      </w:r>
      <w:bookmarkStart w:id="1" w:name="undefined"/>
      <w:r>
        <w:rPr>
          <w:color w:val="000000"/>
          <w:sz w:val="28"/>
          <w:szCs w:val="28"/>
          <w:highlight w:val="white"/>
        </w:rPr>
      </w:r>
      <w:bookmarkEnd w:id="1"/>
      <w:r>
        <w:rPr>
          <w:color w:val="000000"/>
          <w:sz w:val="28"/>
          <w:szCs w:val="28"/>
          <w:highlight w:val="white"/>
        </w:rPr>
        <w:t xml:space="preserve">Федерации.</w:t>
      </w:r>
      <w:r>
        <w:rPr>
          <w:color w:val="000000"/>
          <w:sz w:val="28"/>
          <w:szCs w:val="28"/>
          <w:highlight w:val="white"/>
          <w14:ligatures w14:val="none"/>
        </w:rPr>
      </w:r>
      <w:r>
        <w:rPr>
          <w:color w:val="000000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>
        <w:rPr>
          <w:rFonts w:ascii="Times New Roman" w:hAnsi="Times New Roman" w:cs="Times New Roman"/>
          <w:sz w:val="27"/>
          <w:szCs w:val="27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Решение вступает в силу с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В.Чекунов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М.М.Миннигулов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декабря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700-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2"/>
    <w:next w:val="852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3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2"/>
    <w:next w:val="852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3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3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3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3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3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2"/>
    <w:next w:val="852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3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2"/>
    <w:next w:val="852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3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2"/>
    <w:next w:val="852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3"/>
    <w:link w:val="697"/>
    <w:uiPriority w:val="10"/>
    <w:rPr>
      <w:sz w:val="48"/>
      <w:szCs w:val="48"/>
    </w:rPr>
  </w:style>
  <w:style w:type="paragraph" w:styleId="699">
    <w:name w:val="Subtitle"/>
    <w:basedOn w:val="852"/>
    <w:next w:val="852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3"/>
    <w:link w:val="699"/>
    <w:uiPriority w:val="11"/>
    <w:rPr>
      <w:sz w:val="24"/>
      <w:szCs w:val="24"/>
    </w:rPr>
  </w:style>
  <w:style w:type="paragraph" w:styleId="701">
    <w:name w:val="Quote"/>
    <w:basedOn w:val="852"/>
    <w:next w:val="852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2"/>
    <w:next w:val="852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3"/>
    <w:link w:val="857"/>
    <w:uiPriority w:val="99"/>
  </w:style>
  <w:style w:type="character" w:styleId="706">
    <w:name w:val="Footer Char"/>
    <w:basedOn w:val="853"/>
    <w:link w:val="859"/>
    <w:uiPriority w:val="99"/>
  </w:style>
  <w:style w:type="paragraph" w:styleId="707">
    <w:name w:val="Caption"/>
    <w:basedOn w:val="852"/>
    <w:next w:val="852"/>
    <w:link w:val="7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853"/>
    <w:link w:val="707"/>
    <w:uiPriority w:val="35"/>
    <w:rPr>
      <w:b/>
      <w:bCs/>
      <w:color w:val="4f81bd" w:themeColor="accent1"/>
      <w:sz w:val="18"/>
      <w:szCs w:val="18"/>
    </w:rPr>
  </w:style>
  <w:style w:type="table" w:styleId="709">
    <w:name w:val="Table Grid"/>
    <w:basedOn w:val="8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basedOn w:val="853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3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 w:customStyle="1">
    <w:name w:val="Всегда"/>
    <w:basedOn w:val="852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57">
    <w:name w:val="Header"/>
    <w:basedOn w:val="852"/>
    <w:link w:val="8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8" w:customStyle="1">
    <w:name w:val="Верхний колонтитул Знак"/>
    <w:basedOn w:val="853"/>
    <w:link w:val="857"/>
    <w:uiPriority w:val="99"/>
  </w:style>
  <w:style w:type="paragraph" w:styleId="859">
    <w:name w:val="Footer"/>
    <w:basedOn w:val="852"/>
    <w:link w:val="8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0" w:customStyle="1">
    <w:name w:val="Нижний колонтитул Знак"/>
    <w:basedOn w:val="853"/>
    <w:link w:val="859"/>
    <w:uiPriority w:val="99"/>
  </w:style>
  <w:style w:type="paragraph" w:styleId="861" w:customStyle="1">
    <w:name w:val="Body Text 21"/>
    <w:basedOn w:val="852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2">
    <w:name w:val="List Paragraph"/>
    <w:basedOn w:val="852"/>
    <w:uiPriority w:val="34"/>
    <w:qFormat/>
    <w:pPr>
      <w:contextualSpacing/>
      <w:ind w:left="720"/>
    </w:pPr>
  </w:style>
  <w:style w:type="paragraph" w:styleId="863">
    <w:name w:val="Balloon Text"/>
    <w:basedOn w:val="852"/>
    <w:link w:val="86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4" w:customStyle="1">
    <w:name w:val="Текст выноски Знак"/>
    <w:basedOn w:val="853"/>
    <w:link w:val="863"/>
    <w:uiPriority w:val="99"/>
    <w:semiHidden/>
    <w:rPr>
      <w:rFonts w:ascii="Tahoma" w:hAnsi="Tahoma" w:cs="Tahoma"/>
      <w:sz w:val="16"/>
      <w:szCs w:val="16"/>
    </w:rPr>
  </w:style>
  <w:style w:type="character" w:styleId="865">
    <w:name w:val="Hyperlink"/>
    <w:basedOn w:val="853"/>
    <w:uiPriority w:val="99"/>
    <w:semiHidden/>
    <w:unhideWhenUsed/>
    <w:rPr>
      <w:color w:val="0000ff" w:themeColor="hyperlink"/>
      <w:u w:val="single"/>
    </w:rPr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67" w:customStyle="1">
    <w:name w:val="Основной текст 21"/>
    <w:basedOn w:val="852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 w:customStyle="1">
    <w:name w:val="Основной текст 22"/>
    <w:basedOn w:val="852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9" w:customStyle="1">
    <w:name w:val="docdata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0" w:customStyle="1">
    <w:name w:val="Обычный (веб)1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2" Type="http://schemas.openxmlformats.org/officeDocument/2006/relationships/hyperlink" Target="https://login.consultant.ru/link/?req=doc&amp;base=RLAW926&amp;n=312293&amp;dst=1335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754FC-C858-4625-8991-EF2E3616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474</cp:revision>
  <dcterms:created xsi:type="dcterms:W3CDTF">2019-01-30T05:23:00Z</dcterms:created>
  <dcterms:modified xsi:type="dcterms:W3CDTF">2025-11-11T07:28:56Z</dcterms:modified>
</cp:coreProperties>
</file>